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26" w:rsidRPr="00113A9F" w:rsidRDefault="00F22926" w:rsidP="00F22926">
      <w:pPr>
        <w:widowControl/>
        <w:spacing w:before="100" w:beforeAutospacing="1" w:after="100" w:afterAutospacing="1" w:line="435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113A9F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荆州市疾病预防控制中心</w:t>
      </w:r>
    </w:p>
    <w:p w:rsidR="00F22926" w:rsidRPr="00F22926" w:rsidRDefault="00F22926" w:rsidP="00F22926">
      <w:pPr>
        <w:widowControl/>
        <w:spacing w:before="100" w:beforeAutospacing="1" w:after="100" w:afterAutospacing="1" w:line="435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113A9F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关于2022年中秋节慰问</w:t>
      </w:r>
      <w:r w:rsidR="000656CF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物资</w:t>
      </w:r>
      <w:r w:rsidRPr="00113A9F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的采购公告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荆州市疾病预防控制中心拟对在职会员的中秋节慰问</w:t>
      </w:r>
      <w:r w:rsidR="000656CF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进行询价采购，现邀请合格的供应商前来报价。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一、采购项目名称：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荆州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市疾控中心职工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中秋节</w:t>
      </w:r>
      <w:r w:rsidR="00A10925">
        <w:rPr>
          <w:rFonts w:ascii="仿宋" w:eastAsia="仿宋" w:hAnsi="仿宋" w:cs="宋体" w:hint="eastAsia"/>
          <w:kern w:val="0"/>
          <w:sz w:val="32"/>
          <w:szCs w:val="32"/>
        </w:rPr>
        <w:t>慰问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采购项目</w:t>
      </w:r>
      <w:r w:rsidR="002B404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二、采购项目预算：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人民币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6.6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400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元/人份,共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165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人份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。（米面粮油）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三、采购内容：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荆州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市疾病预防控制中心为中心员工</w:t>
      </w: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采购中秋节慰问</w:t>
      </w:r>
      <w:r w:rsidR="005C46D2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米面粮油。</w:t>
      </w:r>
    </w:p>
    <w:p w:rsidR="00F22926" w:rsidRPr="002B4047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四、报价供应商必须具备的基本条件：</w:t>
      </w:r>
    </w:p>
    <w:p w:rsidR="003E083C" w:rsidRPr="00F22926" w:rsidRDefault="003E083C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13A9F">
        <w:rPr>
          <w:rFonts w:ascii="仿宋" w:eastAsia="仿宋" w:hAnsi="仿宋" w:cs="宋体" w:hint="eastAsia"/>
          <w:bCs/>
          <w:kern w:val="0"/>
          <w:sz w:val="32"/>
          <w:szCs w:val="32"/>
        </w:rPr>
        <w:t>1、具备营业执照的独立法人组织，必须是在荆州城区</w:t>
      </w:r>
      <w:r w:rsidR="00284C43">
        <w:rPr>
          <w:rFonts w:ascii="仿宋" w:eastAsia="仿宋" w:hAnsi="仿宋" w:cs="宋体" w:hint="eastAsia"/>
          <w:bCs/>
          <w:kern w:val="0"/>
          <w:sz w:val="32"/>
          <w:szCs w:val="32"/>
        </w:rPr>
        <w:t>有</w:t>
      </w:r>
      <w:r w:rsidRPr="00113A9F">
        <w:rPr>
          <w:rFonts w:ascii="仿宋" w:eastAsia="仿宋" w:hAnsi="仿宋" w:cs="宋体" w:hint="eastAsia"/>
          <w:bCs/>
          <w:kern w:val="0"/>
          <w:sz w:val="32"/>
          <w:szCs w:val="32"/>
        </w:rPr>
        <w:t>营业网点的连锁超市或大型超市。</w:t>
      </w:r>
    </w:p>
    <w:p w:rsidR="00F22926" w:rsidRPr="00F22926" w:rsidRDefault="003E083C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F22926" w:rsidRPr="00F22926">
        <w:rPr>
          <w:rFonts w:ascii="仿宋" w:eastAsia="仿宋" w:hAnsi="仿宋" w:cs="宋体" w:hint="eastAsia"/>
          <w:kern w:val="0"/>
          <w:sz w:val="32"/>
          <w:szCs w:val="32"/>
        </w:rPr>
        <w:t>、应具备《政府采购法》第二十二条第一款规定的条件；</w:t>
      </w:r>
    </w:p>
    <w:p w:rsidR="00F22926" w:rsidRPr="00F22926" w:rsidRDefault="003E083C" w:rsidP="003E083C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F22926" w:rsidRPr="00F22926">
        <w:rPr>
          <w:rFonts w:ascii="仿宋" w:eastAsia="仿宋" w:hAnsi="仿宋" w:cs="宋体" w:hint="eastAsia"/>
          <w:kern w:val="0"/>
          <w:sz w:val="32"/>
          <w:szCs w:val="32"/>
        </w:rPr>
        <w:t>、必须是在中国境内依法注册的法人、其他组织或者自然人；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4、投标人信用记录须符合政府采购活动的要求（按照《关于在政府采购活动中查询及使用信用有关问题的通知》财库【2017】125号的有关要求执行），主体信用在“信用中国”网站（www.credichina.gov.cn）无不良记录及失信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记录且在“中国政府采购网”（www.ccgp.gov.cn）无违法失信行为信息记录；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五、响应文件递交截止时间和送达地点：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1、响应文件递交截止时间：202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日9时30分；未密封或逾期送达的响应文件恕不接受。</w:t>
      </w:r>
    </w:p>
    <w:p w:rsidR="003E083C" w:rsidRPr="002B4047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2、响应文件送达地点：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荆州市疾病预防控制中心综合楼3楼315室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六、公告期限：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自询价公告发布之日起3个工作日。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七、评审标准及联系方式：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评审标准：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评审方案优，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米面粮油价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值最高者中标。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采购人：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荆州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市疾病预防控制中心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倪华佳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联系电话：071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8102159</w:t>
      </w:r>
    </w:p>
    <w:p w:rsidR="00F22926" w:rsidRPr="00F22926" w:rsidRDefault="00F22926" w:rsidP="00F22926">
      <w:pPr>
        <w:widowControl/>
        <w:spacing w:line="46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联系地址：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荆州市沙市区关沮镇清河路6号 荆州市疾病预防控制中心大楼</w:t>
      </w:r>
    </w:p>
    <w:p w:rsidR="00F22926" w:rsidRPr="00F22926" w:rsidRDefault="00F22926" w:rsidP="00F22926">
      <w:pPr>
        <w:widowControl/>
        <w:spacing w:before="100" w:beforeAutospacing="1" w:after="100" w:afterAutospacing="1"/>
        <w:ind w:firstLine="645"/>
        <w:outlineLvl w:val="0"/>
        <w:rPr>
          <w:rFonts w:ascii="仿宋" w:eastAsia="仿宋" w:hAnsi="仿宋" w:cs="宋体"/>
          <w:b/>
          <w:bCs/>
          <w:kern w:val="36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八、采购需求</w:t>
      </w:r>
    </w:p>
    <w:p w:rsidR="00F22926" w:rsidRPr="00F22926" w:rsidRDefault="00F22926" w:rsidP="00F22926">
      <w:pPr>
        <w:widowControl/>
        <w:spacing w:line="495" w:lineRule="atLeast"/>
        <w:ind w:firstLine="315"/>
        <w:jc w:val="left"/>
        <w:outlineLvl w:val="2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（一）采购项目清单一览表</w:t>
      </w:r>
    </w:p>
    <w:tbl>
      <w:tblPr>
        <w:tblW w:w="0" w:type="auto"/>
        <w:tblCellSpacing w:w="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3340"/>
        <w:gridCol w:w="904"/>
        <w:gridCol w:w="1241"/>
        <w:gridCol w:w="1864"/>
      </w:tblGrid>
      <w:tr w:rsidR="00F22926" w:rsidRPr="00F22926" w:rsidTr="00F22926">
        <w:trPr>
          <w:trHeight w:val="915"/>
          <w:tblCellSpacing w:w="15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</w:rPr>
              <w:t>序号</w:t>
            </w:r>
          </w:p>
        </w:tc>
        <w:tc>
          <w:tcPr>
            <w:tcW w:w="3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</w:rPr>
              <w:t>单位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</w:rPr>
              <w:t>数量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</w:rPr>
              <w:t>备注</w:t>
            </w:r>
          </w:p>
        </w:tc>
      </w:tr>
      <w:tr w:rsidR="00F22926" w:rsidRPr="00F22926" w:rsidTr="00F22926">
        <w:trPr>
          <w:trHeight w:val="1020"/>
          <w:tblCellSpacing w:w="15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ind w:left="420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632DEF" w:rsidP="00632DEF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米面粮油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3E083C" w:rsidP="00F22926">
            <w:pPr>
              <w:widowControl/>
              <w:spacing w:line="49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2B4047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165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</w:tbl>
    <w:p w:rsidR="00F22926" w:rsidRPr="00F22926" w:rsidRDefault="00F22926" w:rsidP="00F22926">
      <w:pPr>
        <w:widowControl/>
        <w:spacing w:line="49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宋体" w:cs="宋体" w:hint="eastAsia"/>
          <w:b/>
          <w:bCs/>
          <w:kern w:val="0"/>
          <w:sz w:val="32"/>
          <w:szCs w:val="32"/>
        </w:rPr>
        <w:t> </w:t>
      </w:r>
    </w:p>
    <w:p w:rsidR="00F22926" w:rsidRPr="00F22926" w:rsidRDefault="00F22926" w:rsidP="00F22926">
      <w:pPr>
        <w:widowControl/>
        <w:spacing w:line="495" w:lineRule="atLeast"/>
        <w:ind w:firstLine="315"/>
        <w:jc w:val="left"/>
        <w:outlineLvl w:val="2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（二）提货券使用规则</w:t>
      </w:r>
    </w:p>
    <w:p w:rsidR="00F22926" w:rsidRPr="00F22926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1、按人均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00元标准结算，供应商可提供高于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00元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价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值的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E083C" w:rsidRPr="002B4047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荆州城区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所属门店通用</w:t>
      </w:r>
      <w:r w:rsidR="003E083C" w:rsidRPr="002B404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22926" w:rsidRPr="00F22926" w:rsidRDefault="003E083C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F22926" w:rsidRPr="00F22926">
        <w:rPr>
          <w:rFonts w:ascii="仿宋" w:eastAsia="仿宋" w:hAnsi="仿宋" w:cs="宋体" w:hint="eastAsia"/>
          <w:kern w:val="0"/>
          <w:sz w:val="32"/>
          <w:szCs w:val="32"/>
        </w:rPr>
        <w:t>3、供应商须在响应文件中对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慰问物资米面粮油</w:t>
      </w:r>
      <w:r w:rsidR="00F22926" w:rsidRPr="00F22926">
        <w:rPr>
          <w:rFonts w:ascii="仿宋" w:eastAsia="仿宋" w:hAnsi="仿宋" w:cs="宋体" w:hint="eastAsia"/>
          <w:kern w:val="0"/>
          <w:sz w:val="32"/>
          <w:szCs w:val="32"/>
        </w:rPr>
        <w:t>服务保障方面给予承诺和对应的保障措施；对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米面粮油提货</w:t>
      </w:r>
      <w:r w:rsidR="00F22926" w:rsidRPr="00F22926">
        <w:rPr>
          <w:rFonts w:ascii="仿宋" w:eastAsia="仿宋" w:hAnsi="仿宋" w:cs="宋体" w:hint="eastAsia"/>
          <w:kern w:val="0"/>
          <w:sz w:val="32"/>
          <w:szCs w:val="32"/>
        </w:rPr>
        <w:t>过期情况给予延期的承诺和相应的处理措施。</w:t>
      </w:r>
    </w:p>
    <w:p w:rsidR="00F22926" w:rsidRPr="00F22926" w:rsidRDefault="00F22926" w:rsidP="00F22926">
      <w:pPr>
        <w:widowControl/>
        <w:spacing w:before="100" w:beforeAutospacing="1" w:after="100" w:afterAutospacing="1" w:line="495" w:lineRule="atLeast"/>
        <w:ind w:firstLine="645"/>
        <w:jc w:val="left"/>
        <w:outlineLvl w:val="2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（三）商务要求</w:t>
      </w:r>
    </w:p>
    <w:p w:rsidR="00F22926" w:rsidRPr="00F22926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1、交货时间：合同签订后5个日历日内完成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发放相关工作。</w:t>
      </w:r>
    </w:p>
    <w:p w:rsidR="00F22926" w:rsidRPr="00F22926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2、交货地点：成交供应商安排工作人员按照要求</w:t>
      </w:r>
      <w:r w:rsidR="00113A9F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米面粮油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发放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到甲方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指定地点。</w:t>
      </w:r>
    </w:p>
    <w:p w:rsidR="00F22926" w:rsidRPr="00F22926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632DEF">
        <w:rPr>
          <w:rFonts w:ascii="仿宋" w:eastAsia="仿宋" w:hAnsi="仿宋" w:cs="宋体" w:hint="eastAsia"/>
          <w:kern w:val="0"/>
          <w:sz w:val="32"/>
          <w:szCs w:val="32"/>
        </w:rPr>
        <w:t>米面粮油提货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使用有效期：两年。超过期限未提货，供应商应提供延期服务。</w:t>
      </w:r>
    </w:p>
    <w:p w:rsidR="00F22926" w:rsidRPr="00F22926" w:rsidRDefault="00F22926" w:rsidP="00F22926">
      <w:pPr>
        <w:widowControl/>
        <w:spacing w:line="49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、结算方式：合同签订后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供应商提交所有</w:t>
      </w:r>
      <w:r w:rsidR="008512A9">
        <w:rPr>
          <w:rFonts w:ascii="仿宋" w:eastAsia="仿宋" w:hAnsi="仿宋" w:cs="宋体" w:hint="eastAsia"/>
          <w:kern w:val="0"/>
          <w:sz w:val="32"/>
          <w:szCs w:val="32"/>
        </w:rPr>
        <w:t>物资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，采购人支付全部货款。</w:t>
      </w:r>
    </w:p>
    <w:p w:rsidR="00113A9F" w:rsidRDefault="00113A9F" w:rsidP="00F2292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F22926" w:rsidRPr="00F22926" w:rsidRDefault="00F22926" w:rsidP="00F22926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B40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询价报价表</w:t>
      </w:r>
    </w:p>
    <w:p w:rsidR="00F22926" w:rsidRPr="00F22926" w:rsidRDefault="00F22926" w:rsidP="00F22926">
      <w:pPr>
        <w:widowControl/>
        <w:spacing w:line="37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采购项目名称: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5610"/>
      </w:tblGrid>
      <w:tr w:rsidR="00F22926" w:rsidRPr="00F22926" w:rsidTr="00F22926">
        <w:trPr>
          <w:trHeight w:val="1275"/>
          <w:tblCellSpacing w:w="15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总报价（元）</w:t>
            </w:r>
          </w:p>
        </w:tc>
        <w:tc>
          <w:tcPr>
            <w:tcW w:w="5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38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大</w:t>
            </w: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写：</w:t>
            </w:r>
          </w:p>
          <w:p w:rsidR="00F22926" w:rsidRPr="00F22926" w:rsidRDefault="00F22926" w:rsidP="00F22926">
            <w:pPr>
              <w:widowControl/>
              <w:spacing w:line="338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小</w:t>
            </w: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写：</w:t>
            </w:r>
          </w:p>
          <w:p w:rsidR="00F22926" w:rsidRPr="00F22926" w:rsidRDefault="00632DEF" w:rsidP="00F22926">
            <w:pPr>
              <w:widowControl/>
              <w:spacing w:line="338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lastRenderedPageBreak/>
              <w:t>米面粮油</w:t>
            </w:r>
            <w:r w:rsidR="00F22926"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总面值：</w:t>
            </w:r>
          </w:p>
        </w:tc>
      </w:tr>
      <w:tr w:rsidR="00F22926" w:rsidRPr="00F22926" w:rsidTr="00F22926">
        <w:trPr>
          <w:trHeight w:val="900"/>
          <w:tblCellSpacing w:w="15" w:type="dxa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lastRenderedPageBreak/>
              <w:t>交货时间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  <w:tr w:rsidR="00F22926" w:rsidRPr="00F22926" w:rsidTr="00F22926">
        <w:trPr>
          <w:trHeight w:val="900"/>
          <w:tblCellSpacing w:w="15" w:type="dxa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  <w:tr w:rsidR="00F22926" w:rsidRPr="00F22926" w:rsidTr="00F22926">
        <w:trPr>
          <w:trHeight w:val="900"/>
          <w:tblCellSpacing w:w="15" w:type="dxa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1703C5" w:rsidP="00F22926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超市</w:t>
            </w:r>
            <w:r w:rsidR="00F22926" w:rsidRPr="00F22926">
              <w:rPr>
                <w:rFonts w:ascii="仿宋" w:eastAsia="仿宋" w:hAnsi="仿宋" w:cs="宋体" w:hint="eastAsia"/>
                <w:color w:val="666666"/>
                <w:kern w:val="0"/>
                <w:sz w:val="32"/>
                <w:szCs w:val="32"/>
              </w:rPr>
              <w:t>提货券有效期（年）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2926" w:rsidRPr="00F22926" w:rsidRDefault="00F22926" w:rsidP="00F22926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666666"/>
                <w:kern w:val="0"/>
                <w:sz w:val="32"/>
                <w:szCs w:val="32"/>
              </w:rPr>
            </w:pPr>
            <w:r w:rsidRPr="00F22926">
              <w:rPr>
                <w:rFonts w:ascii="仿宋" w:eastAsia="仿宋" w:hAnsi="宋体" w:cs="宋体" w:hint="eastAsia"/>
                <w:color w:val="666666"/>
                <w:kern w:val="0"/>
                <w:sz w:val="32"/>
                <w:szCs w:val="32"/>
              </w:rPr>
              <w:t> </w:t>
            </w:r>
          </w:p>
        </w:tc>
      </w:tr>
    </w:tbl>
    <w:p w:rsidR="00F22926" w:rsidRPr="00F22926" w:rsidRDefault="00F22926" w:rsidP="00F22926">
      <w:pPr>
        <w:widowControl/>
        <w:spacing w:line="37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:rsidR="00F22926" w:rsidRPr="00F22926" w:rsidRDefault="00F22926" w:rsidP="00F22926">
      <w:pPr>
        <w:widowControl/>
        <w:spacing w:line="37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注：1、所有价格均用人民币表示，单位为元。</w:t>
      </w:r>
    </w:p>
    <w:p w:rsidR="00F22926" w:rsidRPr="00F22926" w:rsidRDefault="00F22926" w:rsidP="00F22926">
      <w:pPr>
        <w:widowControl/>
        <w:spacing w:line="450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法定代表人或法定代表人授权代表（签字）:</w:t>
      </w:r>
      <w:r w:rsidRPr="00F22926"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           </w:t>
      </w:r>
    </w:p>
    <w:p w:rsidR="00F22926" w:rsidRPr="00F22926" w:rsidRDefault="00F22926" w:rsidP="00F22926">
      <w:pPr>
        <w:widowControl/>
        <w:spacing w:line="450" w:lineRule="atLeas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供应商名称（签章）：</w:t>
      </w:r>
      <w:r w:rsidRPr="00F22926"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            </w:t>
      </w:r>
    </w:p>
    <w:p w:rsidR="00F22926" w:rsidRPr="00F22926" w:rsidRDefault="00F22926" w:rsidP="00F22926">
      <w:pPr>
        <w:widowControl/>
        <w:spacing w:line="450" w:lineRule="atLeas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报价时间：</w:t>
      </w:r>
      <w:r w:rsidRPr="00F22926"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   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F22926"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  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F22926"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 </w:t>
      </w:r>
      <w:r w:rsidRPr="00F22926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7B66D0" w:rsidRPr="002B4047" w:rsidRDefault="007B66D0">
      <w:pPr>
        <w:rPr>
          <w:rFonts w:ascii="仿宋" w:eastAsia="仿宋" w:hAnsi="仿宋"/>
          <w:sz w:val="32"/>
          <w:szCs w:val="32"/>
        </w:rPr>
      </w:pPr>
    </w:p>
    <w:sectPr w:rsidR="007B66D0" w:rsidRPr="002B4047" w:rsidSect="00C7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88" w:rsidRDefault="00285888" w:rsidP="00F22926">
      <w:r>
        <w:separator/>
      </w:r>
    </w:p>
  </w:endnote>
  <w:endnote w:type="continuationSeparator" w:id="1">
    <w:p w:rsidR="00285888" w:rsidRDefault="00285888" w:rsidP="00F2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88" w:rsidRDefault="00285888" w:rsidP="00F22926">
      <w:r>
        <w:separator/>
      </w:r>
    </w:p>
  </w:footnote>
  <w:footnote w:type="continuationSeparator" w:id="1">
    <w:p w:rsidR="00285888" w:rsidRDefault="00285888" w:rsidP="00F2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926"/>
    <w:rsid w:val="000656CF"/>
    <w:rsid w:val="00113A9F"/>
    <w:rsid w:val="00154F2A"/>
    <w:rsid w:val="001703C5"/>
    <w:rsid w:val="00284C43"/>
    <w:rsid w:val="00285888"/>
    <w:rsid w:val="002927AC"/>
    <w:rsid w:val="002B4047"/>
    <w:rsid w:val="003E083C"/>
    <w:rsid w:val="005C46D2"/>
    <w:rsid w:val="005D44E0"/>
    <w:rsid w:val="00632DEF"/>
    <w:rsid w:val="007B66D0"/>
    <w:rsid w:val="00821FA8"/>
    <w:rsid w:val="008512A9"/>
    <w:rsid w:val="0099614E"/>
    <w:rsid w:val="00A10925"/>
    <w:rsid w:val="00C76405"/>
    <w:rsid w:val="00D470E5"/>
    <w:rsid w:val="00E83D23"/>
    <w:rsid w:val="00F22926"/>
    <w:rsid w:val="00FD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29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229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9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292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2292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F22926"/>
    <w:rPr>
      <w:b/>
      <w:bCs/>
    </w:rPr>
  </w:style>
  <w:style w:type="paragraph" w:styleId="a6">
    <w:name w:val="Normal (Web)"/>
    <w:basedOn w:val="a"/>
    <w:uiPriority w:val="99"/>
    <w:unhideWhenUsed/>
    <w:rsid w:val="00F22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2022-09-01T04:42:00Z</cp:lastPrinted>
  <dcterms:created xsi:type="dcterms:W3CDTF">2022-08-30T03:04:00Z</dcterms:created>
  <dcterms:modified xsi:type="dcterms:W3CDTF">2022-09-01T07:08:00Z</dcterms:modified>
</cp:coreProperties>
</file>